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F5EA1" w14:textId="77777777" w:rsidR="00BD557E" w:rsidRDefault="00C415B0" w:rsidP="00BF23C9">
      <w:pPr>
        <w:jc w:val="center"/>
        <w:rPr>
          <w:rFonts w:ascii="Arial" w:hAnsi="Arial" w:cs="Arial"/>
          <w:b/>
        </w:rPr>
      </w:pPr>
      <w:r w:rsidRPr="00BF23C9">
        <w:rPr>
          <w:rFonts w:ascii="Arial" w:hAnsi="Arial" w:cs="Arial"/>
          <w:b/>
        </w:rPr>
        <w:t xml:space="preserve">CAMBIOS REALIZADOS AL PLAN ANTICORRUPCIÓN </w:t>
      </w:r>
      <w:r w:rsidR="002A4C6C">
        <w:rPr>
          <w:rFonts w:ascii="Arial" w:hAnsi="Arial" w:cs="Arial"/>
          <w:b/>
        </w:rPr>
        <w:t>Y ATENCIÓN AL CIUDADANO 2021</w:t>
      </w:r>
      <w:r w:rsidRPr="00BF23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BF23C9">
        <w:rPr>
          <w:rFonts w:ascii="Arial" w:hAnsi="Arial" w:cs="Arial"/>
          <w:b/>
        </w:rPr>
        <w:t xml:space="preserve"> CORPAMAG</w:t>
      </w:r>
      <w:r>
        <w:rPr>
          <w:rFonts w:ascii="Arial" w:hAnsi="Arial" w:cs="Arial"/>
          <w:b/>
        </w:rPr>
        <w:t xml:space="preserve"> </w:t>
      </w:r>
    </w:p>
    <w:p w14:paraId="6A5DFA30" w14:textId="77777777" w:rsidR="005000F7" w:rsidRDefault="005000F7" w:rsidP="005000F7">
      <w:pPr>
        <w:rPr>
          <w:rFonts w:ascii="Arial" w:hAnsi="Arial" w:cs="Arial"/>
          <w:b/>
        </w:rPr>
      </w:pPr>
    </w:p>
    <w:p w14:paraId="3253EA04" w14:textId="52D698D5" w:rsidR="00C415B0" w:rsidRPr="00BF23C9" w:rsidRDefault="006B387C" w:rsidP="005000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Fecha de modificación: </w:t>
      </w:r>
      <w:r w:rsidR="00E43289">
        <w:rPr>
          <w:rFonts w:ascii="Arial" w:hAnsi="Arial" w:cs="Arial"/>
        </w:rPr>
        <w:t>02</w:t>
      </w:r>
      <w:r w:rsidR="00DA2F0A" w:rsidRPr="00E43289">
        <w:rPr>
          <w:rFonts w:ascii="Arial" w:hAnsi="Arial" w:cs="Arial"/>
        </w:rPr>
        <w:t>/12</w:t>
      </w:r>
      <w:r w:rsidR="005000F7" w:rsidRPr="00E43289">
        <w:rPr>
          <w:rFonts w:ascii="Arial" w:hAnsi="Arial" w:cs="Arial"/>
        </w:rPr>
        <w:t>/20</w:t>
      </w:r>
      <w:r w:rsidRPr="00E43289">
        <w:rPr>
          <w:rFonts w:ascii="Arial" w:hAnsi="Arial" w:cs="Arial"/>
        </w:rPr>
        <w:t>21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288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5000F7" w:rsidRPr="00BF23C9" w14:paraId="3CE24875" w14:textId="77777777" w:rsidTr="00D41F65">
        <w:tc>
          <w:tcPr>
            <w:tcW w:w="2527" w:type="dxa"/>
            <w:shd w:val="clear" w:color="auto" w:fill="E7E6E6" w:themeFill="background2"/>
          </w:tcPr>
          <w:p w14:paraId="5845687A" w14:textId="77777777" w:rsidR="005000F7" w:rsidRPr="007B3FED" w:rsidRDefault="005000F7" w:rsidP="005000F7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  <w:vAlign w:val="center"/>
          </w:tcPr>
          <w:p w14:paraId="79C60608" w14:textId="77777777" w:rsidR="005000F7" w:rsidRPr="000E7B4B" w:rsidRDefault="005000F7" w:rsidP="00D41F65">
            <w:pPr>
              <w:rPr>
                <w:rFonts w:ascii="Arial" w:hAnsi="Arial" w:cs="Arial"/>
                <w:b/>
                <w:color w:val="FF0000"/>
              </w:rPr>
            </w:pPr>
            <w:r w:rsidRPr="002F79A3">
              <w:rPr>
                <w:rFonts w:ascii="Arial" w:hAnsi="Arial" w:cs="Arial"/>
                <w:b/>
              </w:rPr>
              <w:t>Gestión</w:t>
            </w:r>
            <w:r w:rsidR="006B387C">
              <w:rPr>
                <w:rFonts w:ascii="Arial" w:hAnsi="Arial" w:cs="Arial"/>
                <w:b/>
              </w:rPr>
              <w:t xml:space="preserve"> Jurídica</w:t>
            </w:r>
          </w:p>
        </w:tc>
      </w:tr>
      <w:tr w:rsidR="005000F7" w:rsidRPr="00BF23C9" w14:paraId="5C04C238" w14:textId="77777777" w:rsidTr="005000F7">
        <w:tc>
          <w:tcPr>
            <w:tcW w:w="2527" w:type="dxa"/>
            <w:shd w:val="clear" w:color="auto" w:fill="E7E6E6" w:themeFill="background2"/>
          </w:tcPr>
          <w:p w14:paraId="50028B8B" w14:textId="77777777" w:rsidR="005000F7" w:rsidRPr="007B3FED" w:rsidRDefault="005000F7" w:rsidP="005000F7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</w:tcPr>
          <w:p w14:paraId="0CB02193" w14:textId="77777777" w:rsidR="005000F7" w:rsidRPr="002F79A3" w:rsidRDefault="005000F7" w:rsidP="005000F7">
            <w:pPr>
              <w:jc w:val="both"/>
              <w:rPr>
                <w:rFonts w:ascii="Arial" w:hAnsi="Arial" w:cs="Arial"/>
              </w:rPr>
            </w:pPr>
            <w:r w:rsidRPr="000E7B4B">
              <w:rPr>
                <w:rFonts w:ascii="Arial" w:hAnsi="Arial" w:cs="Arial"/>
              </w:rPr>
              <w:t>Componente 1: Gestión del Riesgo de Corrupción - Mapa de Riesgos de Corrupción</w:t>
            </w:r>
          </w:p>
        </w:tc>
      </w:tr>
      <w:tr w:rsidR="005000F7" w:rsidRPr="00BF23C9" w14:paraId="3382D6FA" w14:textId="77777777" w:rsidTr="005000F7">
        <w:tc>
          <w:tcPr>
            <w:tcW w:w="2527" w:type="dxa"/>
            <w:shd w:val="clear" w:color="auto" w:fill="E7E6E6" w:themeFill="background2"/>
          </w:tcPr>
          <w:p w14:paraId="3D9BB290" w14:textId="77777777" w:rsidR="005000F7" w:rsidRPr="007B3FED" w:rsidRDefault="005000F7" w:rsidP="005000F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Riesgo</w:t>
            </w:r>
          </w:p>
        </w:tc>
        <w:tc>
          <w:tcPr>
            <w:tcW w:w="6653" w:type="dxa"/>
          </w:tcPr>
          <w:p w14:paraId="191E1E73" w14:textId="77777777" w:rsidR="005000F7" w:rsidRPr="002F79A3" w:rsidRDefault="006B387C" w:rsidP="005000F7">
            <w:pPr>
              <w:jc w:val="both"/>
              <w:rPr>
                <w:rFonts w:ascii="Arial" w:hAnsi="Arial" w:cs="Arial"/>
                <w:color w:val="FF0000"/>
              </w:rPr>
            </w:pPr>
            <w:r w:rsidRPr="006B387C">
              <w:rPr>
                <w:rFonts w:ascii="Arial" w:hAnsi="Arial" w:cs="Arial"/>
              </w:rPr>
              <w:t>Indebida defensa judicial de la Corporación</w:t>
            </w:r>
          </w:p>
        </w:tc>
      </w:tr>
      <w:tr w:rsidR="005000F7" w:rsidRPr="007454FB" w14:paraId="209CCA67" w14:textId="77777777" w:rsidTr="00D41F65">
        <w:trPr>
          <w:trHeight w:val="6785"/>
        </w:trPr>
        <w:tc>
          <w:tcPr>
            <w:tcW w:w="2527" w:type="dxa"/>
            <w:shd w:val="clear" w:color="auto" w:fill="E7E6E6" w:themeFill="background2"/>
          </w:tcPr>
          <w:p w14:paraId="3D7E0D50" w14:textId="77777777" w:rsidR="005000F7" w:rsidRPr="007B3FED" w:rsidRDefault="005000F7" w:rsidP="005000F7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</w:tcPr>
          <w:p w14:paraId="27D17D65" w14:textId="77777777" w:rsidR="006B387C" w:rsidRDefault="006B387C" w:rsidP="006B387C">
            <w:pPr>
              <w:pStyle w:val="Prrafodelista"/>
              <w:numPr>
                <w:ilvl w:val="0"/>
                <w:numId w:val="8"/>
              </w:numPr>
              <w:ind w:left="316"/>
              <w:jc w:val="both"/>
              <w:rPr>
                <w:rFonts w:ascii="Arial" w:hAnsi="Arial" w:cs="Arial"/>
              </w:rPr>
            </w:pPr>
            <w:r w:rsidRPr="006B387C">
              <w:rPr>
                <w:rFonts w:ascii="Arial" w:hAnsi="Arial" w:cs="Arial"/>
              </w:rPr>
              <w:t>Se organizaron las causas de la siguiente forma:</w:t>
            </w:r>
          </w:p>
          <w:p w14:paraId="2AC46289" w14:textId="77777777" w:rsidR="006B387C" w:rsidRDefault="006B387C" w:rsidP="00CF20AA">
            <w:pPr>
              <w:ind w:lef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B387C">
              <w:rPr>
                <w:rFonts w:ascii="Arial" w:hAnsi="Arial" w:cs="Arial"/>
              </w:rPr>
              <w:t>nterna</w:t>
            </w:r>
            <w:r>
              <w:rPr>
                <w:rFonts w:ascii="Arial" w:hAnsi="Arial" w:cs="Arial"/>
              </w:rPr>
              <w:t xml:space="preserve">: </w:t>
            </w:r>
            <w:r w:rsidRPr="006B387C">
              <w:rPr>
                <w:rFonts w:ascii="Arial" w:hAnsi="Arial" w:cs="Arial"/>
              </w:rPr>
              <w:t>*Negligencia de los abogados externos en la ejecución de sus obligaciones</w:t>
            </w:r>
            <w:r w:rsidR="00CF20AA">
              <w:rPr>
                <w:rFonts w:ascii="Arial" w:hAnsi="Arial" w:cs="Arial"/>
              </w:rPr>
              <w:t xml:space="preserve"> y </w:t>
            </w:r>
            <w:r w:rsidRPr="006B387C">
              <w:rPr>
                <w:rFonts w:ascii="Arial" w:hAnsi="Arial" w:cs="Arial"/>
              </w:rPr>
              <w:t>*No presentar en término las actuaciones propias de la representación judicial de la entidad</w:t>
            </w:r>
            <w:r w:rsidR="00CF20AA">
              <w:rPr>
                <w:rFonts w:ascii="Arial" w:hAnsi="Arial" w:cs="Arial"/>
              </w:rPr>
              <w:t>.</w:t>
            </w:r>
          </w:p>
          <w:p w14:paraId="4B04E940" w14:textId="77777777" w:rsidR="00CF20AA" w:rsidRDefault="00CF20AA" w:rsidP="00CF20AA">
            <w:pPr>
              <w:ind w:lef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Externa:</w:t>
            </w:r>
            <w:r w:rsidRPr="00CF20AA">
              <w:rPr>
                <w:rFonts w:ascii="Arial" w:hAnsi="Arial" w:cs="Arial"/>
              </w:rPr>
              <w:t xml:space="preserve"> *Complicidad entre el abogado demandante y el abogado de la Corporación para beneficiar los intereses del primero</w:t>
            </w:r>
            <w:r>
              <w:rPr>
                <w:rFonts w:ascii="Arial" w:hAnsi="Arial" w:cs="Arial"/>
              </w:rPr>
              <w:t xml:space="preserve">. Y se eliminó la causa </w:t>
            </w:r>
            <w:r w:rsidRPr="00CF20AA">
              <w:rPr>
                <w:rFonts w:ascii="Arial" w:hAnsi="Arial" w:cs="Arial"/>
              </w:rPr>
              <w:t>*Presiones de grupos de poder</w:t>
            </w:r>
            <w:r>
              <w:rPr>
                <w:rFonts w:ascii="Arial" w:hAnsi="Arial" w:cs="Arial"/>
              </w:rPr>
              <w:t>.</w:t>
            </w:r>
          </w:p>
          <w:p w14:paraId="16752108" w14:textId="77777777" w:rsidR="00CF20AA" w:rsidRDefault="00CF20AA" w:rsidP="00CF20AA">
            <w:pPr>
              <w:ind w:left="316"/>
              <w:jc w:val="both"/>
              <w:rPr>
                <w:rFonts w:ascii="Arial" w:hAnsi="Arial" w:cs="Arial"/>
              </w:rPr>
            </w:pPr>
          </w:p>
          <w:p w14:paraId="2680EF26" w14:textId="77777777" w:rsidR="00CF20AA" w:rsidRDefault="00CF20AA" w:rsidP="00CF20AA">
            <w:pPr>
              <w:pStyle w:val="Prrafodelista"/>
              <w:numPr>
                <w:ilvl w:val="0"/>
                <w:numId w:val="8"/>
              </w:numPr>
              <w:tabs>
                <w:tab w:val="left" w:pos="360"/>
              </w:tabs>
              <w:ind w:left="316"/>
              <w:jc w:val="both"/>
              <w:rPr>
                <w:rFonts w:ascii="Arial" w:hAnsi="Arial" w:cs="Arial"/>
              </w:rPr>
            </w:pPr>
            <w:r w:rsidRPr="00CF20AA">
              <w:rPr>
                <w:rFonts w:ascii="Arial" w:hAnsi="Arial" w:cs="Arial"/>
              </w:rPr>
              <w:t xml:space="preserve">En actividades de control, se especificó que la </w:t>
            </w:r>
            <w:r>
              <w:rPr>
                <w:rFonts w:ascii="Arial" w:hAnsi="Arial" w:cs="Arial"/>
              </w:rPr>
              <w:t>c</w:t>
            </w:r>
            <w:r w:rsidRPr="00CF20AA">
              <w:rPr>
                <w:rFonts w:ascii="Arial" w:hAnsi="Arial" w:cs="Arial"/>
              </w:rPr>
              <w:t>ontratación</w:t>
            </w:r>
          </w:p>
          <w:p w14:paraId="3B6343F8" w14:textId="77777777" w:rsidR="00CF20AA" w:rsidRDefault="00CF20AA" w:rsidP="00CF20AA">
            <w:pPr>
              <w:pStyle w:val="Prrafodelista"/>
              <w:tabs>
                <w:tab w:val="left" w:pos="360"/>
              </w:tabs>
              <w:ind w:left="316"/>
              <w:jc w:val="both"/>
              <w:rPr>
                <w:rFonts w:ascii="Arial" w:hAnsi="Arial" w:cs="Arial"/>
              </w:rPr>
            </w:pPr>
            <w:r w:rsidRPr="00CF20AA">
              <w:rPr>
                <w:rFonts w:ascii="Arial" w:hAnsi="Arial" w:cs="Arial"/>
              </w:rPr>
              <w:t xml:space="preserve">de personal idóneo, cumpla con requisitos </w:t>
            </w:r>
            <w:r w:rsidRPr="00CF20AA">
              <w:rPr>
                <w:rFonts w:ascii="Arial" w:hAnsi="Arial" w:cs="Arial"/>
                <w:b/>
              </w:rPr>
              <w:t>de experiencia y estudio profesional.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20AA"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</w:rPr>
              <w:t>se anexaron las siguientes actividades:</w:t>
            </w:r>
          </w:p>
          <w:p w14:paraId="6A335FA7" w14:textId="77777777" w:rsidR="00CF20AA" w:rsidRPr="00CF20AA" w:rsidRDefault="00CF20AA" w:rsidP="00CF20AA">
            <w:pPr>
              <w:pStyle w:val="Prrafodelista"/>
              <w:tabs>
                <w:tab w:val="left" w:pos="360"/>
              </w:tabs>
              <w:ind w:left="316"/>
              <w:jc w:val="both"/>
              <w:rPr>
                <w:rFonts w:ascii="Arial" w:hAnsi="Arial" w:cs="Arial"/>
              </w:rPr>
            </w:pPr>
            <w:r w:rsidRPr="00CF20AA">
              <w:rPr>
                <w:rFonts w:ascii="Arial" w:hAnsi="Arial" w:cs="Arial"/>
              </w:rPr>
              <w:t>*Seguimiento a las actuaciones judiciales asignadas.</w:t>
            </w:r>
          </w:p>
          <w:p w14:paraId="4FE96C59" w14:textId="77777777" w:rsidR="00CF20AA" w:rsidRDefault="00CF20AA" w:rsidP="00CF20AA">
            <w:pPr>
              <w:pStyle w:val="Prrafodelista"/>
              <w:tabs>
                <w:tab w:val="left" w:pos="360"/>
              </w:tabs>
              <w:ind w:left="316"/>
              <w:jc w:val="both"/>
              <w:rPr>
                <w:rFonts w:ascii="Arial" w:hAnsi="Arial" w:cs="Arial"/>
              </w:rPr>
            </w:pPr>
            <w:r w:rsidRPr="00CF20AA">
              <w:rPr>
                <w:rFonts w:ascii="Arial" w:hAnsi="Arial" w:cs="Arial"/>
              </w:rPr>
              <w:t>*Solicitud de antecedentes disciplinarios de los abogados de la entidad ante la procuraduría y ante el consejo superior de judicatura.</w:t>
            </w:r>
          </w:p>
          <w:p w14:paraId="48EE74A3" w14:textId="77777777" w:rsidR="00CF20AA" w:rsidRDefault="00CF20AA" w:rsidP="00CF20AA">
            <w:pPr>
              <w:pStyle w:val="Prrafodelista"/>
              <w:tabs>
                <w:tab w:val="left" w:pos="360"/>
              </w:tabs>
              <w:ind w:left="316"/>
              <w:jc w:val="both"/>
              <w:rPr>
                <w:rFonts w:ascii="Arial" w:hAnsi="Arial" w:cs="Arial"/>
              </w:rPr>
            </w:pPr>
          </w:p>
          <w:p w14:paraId="7EFD770A" w14:textId="77777777" w:rsidR="00CF20AA" w:rsidRDefault="00CF20AA" w:rsidP="00CF20AA">
            <w:pPr>
              <w:pStyle w:val="Prrafodelista"/>
              <w:numPr>
                <w:ilvl w:val="0"/>
                <w:numId w:val="8"/>
              </w:numPr>
              <w:tabs>
                <w:tab w:val="left" w:pos="360"/>
              </w:tabs>
              <w:ind w:lef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agregaron los siguientes soportes:</w:t>
            </w:r>
          </w:p>
          <w:p w14:paraId="5CCCB510" w14:textId="77777777" w:rsidR="00CF20AA" w:rsidRPr="00CF20AA" w:rsidRDefault="00CF20AA" w:rsidP="00CF20AA">
            <w:pPr>
              <w:pStyle w:val="Prrafodelista"/>
              <w:tabs>
                <w:tab w:val="left" w:pos="360"/>
              </w:tabs>
              <w:ind w:left="316"/>
              <w:jc w:val="both"/>
              <w:rPr>
                <w:rFonts w:ascii="Arial" w:hAnsi="Arial" w:cs="Arial"/>
              </w:rPr>
            </w:pPr>
            <w:r w:rsidRPr="00CF20AA">
              <w:rPr>
                <w:rFonts w:ascii="Arial" w:hAnsi="Arial" w:cs="Arial"/>
              </w:rPr>
              <w:t>Informe de ejecución de contrato.</w:t>
            </w:r>
          </w:p>
          <w:p w14:paraId="344B1F86" w14:textId="77777777" w:rsidR="00CF20AA" w:rsidRDefault="00CF20AA" w:rsidP="00CF20AA">
            <w:pPr>
              <w:pStyle w:val="Prrafodelista"/>
              <w:tabs>
                <w:tab w:val="left" w:pos="360"/>
              </w:tabs>
              <w:ind w:left="316"/>
              <w:jc w:val="both"/>
              <w:rPr>
                <w:rFonts w:ascii="Arial" w:hAnsi="Arial" w:cs="Arial"/>
              </w:rPr>
            </w:pPr>
            <w:r w:rsidRPr="00CF20AA">
              <w:rPr>
                <w:rFonts w:ascii="Arial" w:hAnsi="Arial" w:cs="Arial"/>
              </w:rPr>
              <w:t>Reporte de la consulta de antecedentes disciplinarios.</w:t>
            </w:r>
          </w:p>
          <w:p w14:paraId="4105230F" w14:textId="77777777" w:rsidR="00CF20AA" w:rsidRDefault="00CF20AA" w:rsidP="00CF20AA">
            <w:pPr>
              <w:pStyle w:val="Prrafodelista"/>
              <w:tabs>
                <w:tab w:val="left" w:pos="360"/>
              </w:tabs>
              <w:ind w:left="316"/>
              <w:jc w:val="both"/>
              <w:rPr>
                <w:rFonts w:ascii="Arial" w:hAnsi="Arial" w:cs="Arial"/>
              </w:rPr>
            </w:pPr>
          </w:p>
          <w:p w14:paraId="7D1EC5F2" w14:textId="08667FB1" w:rsidR="005000F7" w:rsidRPr="007454FB" w:rsidRDefault="00CF20AA" w:rsidP="00951EED">
            <w:pPr>
              <w:pStyle w:val="Prrafodelista"/>
              <w:numPr>
                <w:ilvl w:val="0"/>
                <w:numId w:val="8"/>
              </w:numPr>
              <w:tabs>
                <w:tab w:val="left" w:pos="360"/>
              </w:tabs>
              <w:ind w:left="316"/>
              <w:jc w:val="both"/>
              <w:rPr>
                <w:rFonts w:ascii="Arial" w:hAnsi="Arial" w:cs="Arial"/>
              </w:rPr>
            </w:pPr>
            <w:r w:rsidRPr="00CF20AA">
              <w:rPr>
                <w:rFonts w:ascii="Arial" w:hAnsi="Arial" w:cs="Arial"/>
              </w:rPr>
              <w:t xml:space="preserve">Se </w:t>
            </w:r>
            <w:r w:rsidR="000202C4">
              <w:rPr>
                <w:rFonts w:ascii="Arial" w:hAnsi="Arial" w:cs="Arial"/>
              </w:rPr>
              <w:t>cambia</w:t>
            </w:r>
            <w:r w:rsidRPr="00CF20AA">
              <w:rPr>
                <w:rFonts w:ascii="Arial" w:hAnsi="Arial" w:cs="Arial"/>
              </w:rPr>
              <w:t xml:space="preserve"> el indicador: # de estudios previos acordes con las necesidades de la corporación /# estudios previos de la corporación) x100, por el indicador: </w:t>
            </w:r>
            <w:r w:rsidRPr="00CF20AA">
              <w:rPr>
                <w:rFonts w:ascii="Arial" w:hAnsi="Arial" w:cs="Arial"/>
                <w:b/>
              </w:rPr>
              <w:t>(# de informes de defensa jurídica</w:t>
            </w:r>
            <w:r w:rsidR="00B64003">
              <w:rPr>
                <w:rFonts w:ascii="Arial" w:hAnsi="Arial" w:cs="Arial"/>
                <w:b/>
              </w:rPr>
              <w:t xml:space="preserve"> mensual</w:t>
            </w:r>
            <w:r w:rsidRPr="00CF20AA">
              <w:rPr>
                <w:rFonts w:ascii="Arial" w:hAnsi="Arial" w:cs="Arial"/>
                <w:b/>
              </w:rPr>
              <w:t xml:space="preserve"> / # de abogados dedicados a la defensa jurídica de la entidad) x 100.</w:t>
            </w:r>
          </w:p>
        </w:tc>
      </w:tr>
      <w:tr w:rsidR="005000F7" w:rsidRPr="00BF23C9" w14:paraId="37D60831" w14:textId="77777777" w:rsidTr="00951EED">
        <w:trPr>
          <w:trHeight w:val="2237"/>
        </w:trPr>
        <w:tc>
          <w:tcPr>
            <w:tcW w:w="2527" w:type="dxa"/>
            <w:shd w:val="clear" w:color="auto" w:fill="E7E6E6" w:themeFill="background2"/>
          </w:tcPr>
          <w:p w14:paraId="3A0DA411" w14:textId="77777777" w:rsidR="005000F7" w:rsidRPr="007B3FED" w:rsidRDefault="005000F7" w:rsidP="005000F7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</w:tcPr>
          <w:p w14:paraId="379035C6" w14:textId="77777777" w:rsidR="005000F7" w:rsidRDefault="006277A2" w:rsidP="005000F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Tratar de buscar evidencias encaminadas a demostrar que la defensa judicial se está llevando en debida forma o de manera deficiente, a través de hechos externos que se relacionaron en las causas diferenciadas en el ítem de riesgo.   </w:t>
            </w:r>
          </w:p>
          <w:p w14:paraId="76E7549E" w14:textId="641FFEC5" w:rsidR="006277A2" w:rsidRDefault="006277A2" w:rsidP="005000F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modificación a la actividad de control obedece también a tratar de puntualizar en las actuaciones que realizan los apoderados haciendo seguimiento a estas, para finalmente modificar el indicador aterrizando mas hacia el producto de esta actividad que son los informes. </w:t>
            </w:r>
          </w:p>
          <w:p w14:paraId="385BE111" w14:textId="5524914F" w:rsidR="006277A2" w:rsidRPr="005000F7" w:rsidRDefault="006277A2" w:rsidP="005000F7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14:paraId="284AE217" w14:textId="3A7DB18B" w:rsidR="0082336D" w:rsidRDefault="005000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FA25B4" w:rsidRPr="00BF23C9" w14:paraId="5E3EFC57" w14:textId="77777777" w:rsidTr="00D41F65">
        <w:tc>
          <w:tcPr>
            <w:tcW w:w="2527" w:type="dxa"/>
            <w:shd w:val="clear" w:color="auto" w:fill="E7E6E6" w:themeFill="background2"/>
          </w:tcPr>
          <w:p w14:paraId="5BD052DD" w14:textId="77777777" w:rsidR="00FA25B4" w:rsidRPr="007B3FED" w:rsidRDefault="00FA25B4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lastRenderedPageBreak/>
              <w:t>Proceso que solicita la Modificación:</w:t>
            </w:r>
          </w:p>
        </w:tc>
        <w:tc>
          <w:tcPr>
            <w:tcW w:w="6653" w:type="dxa"/>
            <w:vAlign w:val="center"/>
          </w:tcPr>
          <w:p w14:paraId="6207BF33" w14:textId="77777777" w:rsidR="00FA25B4" w:rsidRPr="000E7B4B" w:rsidRDefault="001F44FA" w:rsidP="00D41F65">
            <w:pPr>
              <w:rPr>
                <w:rFonts w:ascii="Arial" w:hAnsi="Arial" w:cs="Arial"/>
                <w:b/>
                <w:color w:val="FF0000"/>
              </w:rPr>
            </w:pPr>
            <w:r w:rsidRPr="001F44FA">
              <w:rPr>
                <w:rFonts w:ascii="Arial" w:hAnsi="Arial" w:cs="Arial"/>
                <w:b/>
              </w:rPr>
              <w:t>Gestión Jurídica</w:t>
            </w:r>
          </w:p>
        </w:tc>
      </w:tr>
      <w:tr w:rsidR="00FA25B4" w:rsidRPr="00BF23C9" w14:paraId="1943DB6F" w14:textId="77777777" w:rsidTr="005A3CCA">
        <w:tc>
          <w:tcPr>
            <w:tcW w:w="2527" w:type="dxa"/>
            <w:shd w:val="clear" w:color="auto" w:fill="E7E6E6" w:themeFill="background2"/>
          </w:tcPr>
          <w:p w14:paraId="31637644" w14:textId="77777777" w:rsidR="00FA25B4" w:rsidRPr="007B3FED" w:rsidRDefault="00FA25B4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</w:tcPr>
          <w:p w14:paraId="4FBCCE51" w14:textId="77777777" w:rsidR="00FA25B4" w:rsidRPr="002F79A3" w:rsidRDefault="001F44FA" w:rsidP="005A3CCA">
            <w:pPr>
              <w:jc w:val="both"/>
              <w:rPr>
                <w:rFonts w:ascii="Arial" w:hAnsi="Arial" w:cs="Arial"/>
              </w:rPr>
            </w:pPr>
            <w:r w:rsidRPr="00776A91">
              <w:rPr>
                <w:rFonts w:ascii="Arial" w:hAnsi="Arial" w:cs="Arial"/>
              </w:rPr>
              <w:t>Componente 4:  Atención  al Ciudadano</w:t>
            </w:r>
          </w:p>
        </w:tc>
      </w:tr>
      <w:tr w:rsidR="00FA25B4" w:rsidRPr="00BF23C9" w14:paraId="0A17A209" w14:textId="77777777" w:rsidTr="005A3CCA">
        <w:tc>
          <w:tcPr>
            <w:tcW w:w="2527" w:type="dxa"/>
            <w:shd w:val="clear" w:color="auto" w:fill="E7E6E6" w:themeFill="background2"/>
          </w:tcPr>
          <w:p w14:paraId="5B45FB47" w14:textId="77777777" w:rsidR="00FA25B4" w:rsidRPr="007B3FED" w:rsidRDefault="00FA25B4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Subcomponente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53" w:type="dxa"/>
          </w:tcPr>
          <w:p w14:paraId="26C5B759" w14:textId="77777777" w:rsidR="00FA25B4" w:rsidRPr="00681EDF" w:rsidRDefault="00F4342C" w:rsidP="008359C1">
            <w:pPr>
              <w:jc w:val="both"/>
              <w:rPr>
                <w:rFonts w:ascii="Arial" w:hAnsi="Arial" w:cs="Arial"/>
              </w:rPr>
            </w:pPr>
            <w:r w:rsidRPr="00F4342C">
              <w:rPr>
                <w:rFonts w:ascii="Arial" w:hAnsi="Arial" w:cs="Arial"/>
              </w:rPr>
              <w:t>Subcomponente 4    Normativo y procedimental</w:t>
            </w:r>
          </w:p>
        </w:tc>
      </w:tr>
      <w:tr w:rsidR="00FA25B4" w:rsidRPr="00BF23C9" w14:paraId="565F1E9A" w14:textId="77777777" w:rsidTr="005A3CCA">
        <w:trPr>
          <w:trHeight w:val="713"/>
        </w:trPr>
        <w:tc>
          <w:tcPr>
            <w:tcW w:w="2527" w:type="dxa"/>
            <w:shd w:val="clear" w:color="auto" w:fill="E7E6E6" w:themeFill="background2"/>
          </w:tcPr>
          <w:p w14:paraId="47AFD86F" w14:textId="77777777" w:rsidR="00FA25B4" w:rsidRPr="007B3FED" w:rsidRDefault="00FA25B4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</w:tcPr>
          <w:p w14:paraId="400EF7C3" w14:textId="77777777" w:rsidR="00FA25B4" w:rsidRDefault="002A4C6C" w:rsidP="00E81954">
            <w:pPr>
              <w:numPr>
                <w:ilvl w:val="0"/>
                <w:numId w:val="7"/>
              </w:numPr>
              <w:shd w:val="clear" w:color="auto" w:fill="FFFFFF"/>
              <w:ind w:left="4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elimina</w:t>
            </w:r>
            <w:r w:rsidR="0095547B">
              <w:rPr>
                <w:rFonts w:ascii="Arial" w:hAnsi="Arial" w:cs="Arial"/>
              </w:rPr>
              <w:t xml:space="preserve"> la</w:t>
            </w:r>
            <w:r w:rsidR="001F44FA">
              <w:rPr>
                <w:rFonts w:ascii="Arial" w:hAnsi="Arial" w:cs="Arial"/>
              </w:rPr>
              <w:t xml:space="preserve"> actividad</w:t>
            </w:r>
            <w:r w:rsidR="00951EED">
              <w:rPr>
                <w:rFonts w:ascii="Arial" w:hAnsi="Arial" w:cs="Arial"/>
              </w:rPr>
              <w:t xml:space="preserve"> 4.2 </w:t>
            </w:r>
            <w:r w:rsidR="00951EED" w:rsidRPr="00951EED">
              <w:rPr>
                <w:rFonts w:ascii="Arial" w:hAnsi="Arial" w:cs="Arial"/>
              </w:rPr>
              <w:t>Elaborar trimestralmente reportes internos sobre las PQRSD.</w:t>
            </w:r>
          </w:p>
          <w:p w14:paraId="1943BABA" w14:textId="77777777" w:rsidR="00904E44" w:rsidRPr="00904E44" w:rsidRDefault="00904E44" w:rsidP="00904E44">
            <w:pPr>
              <w:jc w:val="both"/>
              <w:rPr>
                <w:rFonts w:ascii="Arial" w:hAnsi="Arial" w:cs="Arial"/>
              </w:rPr>
            </w:pPr>
          </w:p>
        </w:tc>
      </w:tr>
      <w:tr w:rsidR="00FA25B4" w:rsidRPr="00BF23C9" w14:paraId="1A73972A" w14:textId="77777777" w:rsidTr="00F01AF3">
        <w:trPr>
          <w:trHeight w:val="733"/>
        </w:trPr>
        <w:tc>
          <w:tcPr>
            <w:tcW w:w="2527" w:type="dxa"/>
            <w:shd w:val="clear" w:color="auto" w:fill="E7E6E6" w:themeFill="background2"/>
          </w:tcPr>
          <w:p w14:paraId="1A25DA28" w14:textId="77777777" w:rsidR="00FA25B4" w:rsidRPr="007B3FED" w:rsidRDefault="00FA25B4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</w:tcPr>
          <w:p w14:paraId="796107C2" w14:textId="47C4B6B6" w:rsidR="00D520E5" w:rsidRPr="00D520E5" w:rsidRDefault="006277A2" w:rsidP="00010A3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el fin de prevenir una doble medición de los mismos factores, debido a que se encontraba repetido en el componente 5.</w:t>
            </w:r>
          </w:p>
        </w:tc>
      </w:tr>
    </w:tbl>
    <w:p w14:paraId="06E8D402" w14:textId="77777777" w:rsidR="00FA25B4" w:rsidRDefault="00FA25B4">
      <w:pPr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393742" w:rsidRPr="00BF23C9" w14:paraId="01B3FA3C" w14:textId="77777777" w:rsidTr="00D41F65">
        <w:tc>
          <w:tcPr>
            <w:tcW w:w="2527" w:type="dxa"/>
            <w:shd w:val="clear" w:color="auto" w:fill="E7E6E6" w:themeFill="background2"/>
          </w:tcPr>
          <w:p w14:paraId="2D19FE5C" w14:textId="77777777" w:rsidR="00393742" w:rsidRPr="007B3FED" w:rsidRDefault="00393742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  <w:vAlign w:val="center"/>
          </w:tcPr>
          <w:p w14:paraId="593FDAA6" w14:textId="77777777" w:rsidR="00393742" w:rsidRPr="000E7B4B" w:rsidRDefault="001F44FA" w:rsidP="00D41F65">
            <w:pPr>
              <w:rPr>
                <w:rFonts w:ascii="Arial" w:hAnsi="Arial" w:cs="Arial"/>
                <w:b/>
                <w:color w:val="FF0000"/>
              </w:rPr>
            </w:pPr>
            <w:r w:rsidRPr="001F44FA">
              <w:rPr>
                <w:rFonts w:ascii="Arial" w:hAnsi="Arial" w:cs="Arial"/>
                <w:b/>
              </w:rPr>
              <w:t>Gestión Jurídica</w:t>
            </w:r>
          </w:p>
        </w:tc>
      </w:tr>
      <w:tr w:rsidR="00393742" w:rsidRPr="00BF23C9" w14:paraId="39B7BD72" w14:textId="77777777" w:rsidTr="005A3CCA">
        <w:tc>
          <w:tcPr>
            <w:tcW w:w="2527" w:type="dxa"/>
            <w:shd w:val="clear" w:color="auto" w:fill="E7E6E6" w:themeFill="background2"/>
          </w:tcPr>
          <w:p w14:paraId="709380CC" w14:textId="77777777" w:rsidR="00393742" w:rsidRPr="007B3FED" w:rsidRDefault="00393742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</w:tcPr>
          <w:p w14:paraId="65C10A5F" w14:textId="77777777" w:rsidR="00393742" w:rsidRPr="002F79A3" w:rsidRDefault="00951EED" w:rsidP="00393742">
            <w:pPr>
              <w:jc w:val="both"/>
              <w:rPr>
                <w:rFonts w:ascii="Arial" w:hAnsi="Arial" w:cs="Arial"/>
              </w:rPr>
            </w:pPr>
            <w:r w:rsidRPr="00951EED">
              <w:rPr>
                <w:rFonts w:ascii="Arial" w:hAnsi="Arial" w:cs="Arial"/>
              </w:rPr>
              <w:t>Componente 5: Transparencia y Acceso a la Información</w:t>
            </w:r>
          </w:p>
        </w:tc>
      </w:tr>
      <w:tr w:rsidR="00393742" w:rsidRPr="00BF23C9" w14:paraId="093D7326" w14:textId="77777777" w:rsidTr="005A3CCA">
        <w:tc>
          <w:tcPr>
            <w:tcW w:w="2527" w:type="dxa"/>
            <w:shd w:val="clear" w:color="auto" w:fill="E7E6E6" w:themeFill="background2"/>
          </w:tcPr>
          <w:p w14:paraId="58EB9D92" w14:textId="77777777" w:rsidR="00393742" w:rsidRPr="007B3FED" w:rsidRDefault="00393742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Subcomponente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53" w:type="dxa"/>
          </w:tcPr>
          <w:p w14:paraId="6208DE1A" w14:textId="77777777" w:rsidR="00393742" w:rsidRPr="00681EDF" w:rsidRDefault="00951EED" w:rsidP="00951EED">
            <w:pPr>
              <w:jc w:val="both"/>
              <w:rPr>
                <w:rFonts w:ascii="Arial" w:hAnsi="Arial" w:cs="Arial"/>
              </w:rPr>
            </w:pPr>
            <w:r w:rsidRPr="00951EED">
              <w:rPr>
                <w:rFonts w:ascii="Arial" w:hAnsi="Arial" w:cs="Arial"/>
              </w:rPr>
              <w:t>Subcomponente 5. Monitoreo del Acceso a la Información Pública</w:t>
            </w:r>
          </w:p>
        </w:tc>
      </w:tr>
      <w:tr w:rsidR="00393742" w:rsidRPr="00BF23C9" w14:paraId="33A01FEF" w14:textId="77777777" w:rsidTr="00F01AF3">
        <w:trPr>
          <w:trHeight w:val="2622"/>
        </w:trPr>
        <w:tc>
          <w:tcPr>
            <w:tcW w:w="2527" w:type="dxa"/>
            <w:shd w:val="clear" w:color="auto" w:fill="E7E6E6" w:themeFill="background2"/>
          </w:tcPr>
          <w:p w14:paraId="15773B45" w14:textId="77777777" w:rsidR="00393742" w:rsidRPr="007B3FED" w:rsidRDefault="00393742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</w:tcPr>
          <w:p w14:paraId="1A297DF7" w14:textId="77777777" w:rsidR="00CB3B96" w:rsidRDefault="00CB3B96" w:rsidP="00325C89">
            <w:pPr>
              <w:numPr>
                <w:ilvl w:val="0"/>
                <w:numId w:val="7"/>
              </w:numPr>
              <w:shd w:val="clear" w:color="auto" w:fill="FFFFFF"/>
              <w:ind w:left="4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aclara en el campo de “Actividades” y “Meta o producto”</w:t>
            </w:r>
            <w:r w:rsidR="00325C89">
              <w:rPr>
                <w:rFonts w:ascii="Arial" w:hAnsi="Arial" w:cs="Arial"/>
              </w:rPr>
              <w:t xml:space="preserve"> que el Informe corresponde a “</w:t>
            </w:r>
            <w:r w:rsidR="00325C89" w:rsidRPr="00325C89">
              <w:rPr>
                <w:rFonts w:ascii="Arial" w:hAnsi="Arial" w:cs="Arial"/>
              </w:rPr>
              <w:t>Informes trimestrales sobre acceso a</w:t>
            </w:r>
            <w:r w:rsidR="00325C89">
              <w:rPr>
                <w:rFonts w:ascii="Arial" w:hAnsi="Arial" w:cs="Arial"/>
              </w:rPr>
              <w:t xml:space="preserve"> información, quejas y reclamos”.</w:t>
            </w:r>
          </w:p>
          <w:p w14:paraId="44D2338A" w14:textId="77777777" w:rsidR="00A313C8" w:rsidRDefault="00A313C8" w:rsidP="00A313C8">
            <w:pPr>
              <w:shd w:val="clear" w:color="auto" w:fill="FFFFFF"/>
              <w:ind w:left="450"/>
              <w:jc w:val="both"/>
              <w:rPr>
                <w:rFonts w:ascii="Arial" w:hAnsi="Arial" w:cs="Arial"/>
              </w:rPr>
            </w:pPr>
          </w:p>
          <w:p w14:paraId="4F10018F" w14:textId="77777777" w:rsidR="00325C89" w:rsidRDefault="00F90ECB" w:rsidP="00A313C8">
            <w:pPr>
              <w:numPr>
                <w:ilvl w:val="0"/>
                <w:numId w:val="7"/>
              </w:numPr>
              <w:shd w:val="clear" w:color="auto" w:fill="FFFFFF"/>
              <w:ind w:left="4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ind</w:t>
            </w:r>
            <w:r w:rsidR="00A313C8">
              <w:rPr>
                <w:rFonts w:ascii="Arial" w:hAnsi="Arial" w:cs="Arial"/>
              </w:rPr>
              <w:t xml:space="preserve">icadores, se especifica que son: </w:t>
            </w:r>
            <w:r w:rsidR="00A313C8" w:rsidRPr="00A313C8">
              <w:rPr>
                <w:rFonts w:ascii="Arial" w:hAnsi="Arial" w:cs="Arial"/>
              </w:rPr>
              <w:t>Informe</w:t>
            </w:r>
            <w:r w:rsidR="00A313C8">
              <w:rPr>
                <w:rFonts w:ascii="Arial" w:hAnsi="Arial" w:cs="Arial"/>
              </w:rPr>
              <w:t>s trimestrales</w:t>
            </w:r>
            <w:r w:rsidR="00A313C8" w:rsidRPr="00A313C8">
              <w:rPr>
                <w:rFonts w:ascii="Arial" w:hAnsi="Arial" w:cs="Arial"/>
              </w:rPr>
              <w:t xml:space="preserve"> elaborado</w:t>
            </w:r>
            <w:r w:rsidR="00A313C8">
              <w:rPr>
                <w:rFonts w:ascii="Arial" w:hAnsi="Arial" w:cs="Arial"/>
              </w:rPr>
              <w:t>s</w:t>
            </w:r>
            <w:r w:rsidR="00A313C8" w:rsidRPr="00A313C8">
              <w:rPr>
                <w:rFonts w:ascii="Arial" w:hAnsi="Arial" w:cs="Arial"/>
              </w:rPr>
              <w:t xml:space="preserve"> y publicado</w:t>
            </w:r>
            <w:r w:rsidR="00A313C8">
              <w:rPr>
                <w:rFonts w:ascii="Arial" w:hAnsi="Arial" w:cs="Arial"/>
              </w:rPr>
              <w:t>s</w:t>
            </w:r>
            <w:r w:rsidR="00A313C8" w:rsidRPr="00A313C8">
              <w:rPr>
                <w:rFonts w:ascii="Arial" w:hAnsi="Arial" w:cs="Arial"/>
              </w:rPr>
              <w:t xml:space="preserve"> en el portal Web</w:t>
            </w:r>
          </w:p>
          <w:p w14:paraId="3418AF47" w14:textId="77777777" w:rsidR="00CB3B96" w:rsidRDefault="00CB3B96" w:rsidP="00810B3D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14:paraId="220EFA2C" w14:textId="1726F448" w:rsidR="00393742" w:rsidRPr="002F79A3" w:rsidRDefault="00C278F1" w:rsidP="00F01AF3">
            <w:pPr>
              <w:numPr>
                <w:ilvl w:val="0"/>
                <w:numId w:val="7"/>
              </w:numPr>
              <w:shd w:val="clear" w:color="auto" w:fill="FFFFFF"/>
              <w:ind w:left="450"/>
              <w:jc w:val="both"/>
              <w:rPr>
                <w:rFonts w:ascii="Arial" w:hAnsi="Arial" w:cs="Arial"/>
                <w:color w:val="FF0000"/>
              </w:rPr>
            </w:pPr>
            <w:r w:rsidRPr="00A313C8">
              <w:rPr>
                <w:rFonts w:ascii="Arial" w:hAnsi="Arial" w:cs="Arial"/>
              </w:rPr>
              <w:t>Se cambia el campo de “Fechas programadas” dejando las siguientes fechas:</w:t>
            </w:r>
            <w:r w:rsidR="00A313C8">
              <w:rPr>
                <w:rFonts w:ascii="Arial" w:hAnsi="Arial" w:cs="Arial"/>
              </w:rPr>
              <w:t xml:space="preserve"> 31/03/2021</w:t>
            </w:r>
            <w:r w:rsidR="00A313C8" w:rsidRPr="00A313C8">
              <w:rPr>
                <w:rFonts w:ascii="Arial" w:hAnsi="Arial" w:cs="Arial"/>
              </w:rPr>
              <w:t xml:space="preserve">, </w:t>
            </w:r>
            <w:r w:rsidRPr="00A313C8">
              <w:rPr>
                <w:rFonts w:ascii="Arial" w:hAnsi="Arial" w:cs="Arial"/>
              </w:rPr>
              <w:t>30/06/2021</w:t>
            </w:r>
            <w:r w:rsidR="00A313C8" w:rsidRPr="00A313C8">
              <w:rPr>
                <w:rFonts w:ascii="Arial" w:hAnsi="Arial" w:cs="Arial"/>
              </w:rPr>
              <w:t xml:space="preserve">, </w:t>
            </w:r>
            <w:r w:rsidRPr="00A313C8">
              <w:rPr>
                <w:rFonts w:ascii="Arial" w:hAnsi="Arial" w:cs="Arial"/>
              </w:rPr>
              <w:t>30/09/2021</w:t>
            </w:r>
            <w:r w:rsidR="00A313C8" w:rsidRPr="00A313C8">
              <w:rPr>
                <w:rFonts w:ascii="Arial" w:hAnsi="Arial" w:cs="Arial"/>
              </w:rPr>
              <w:t xml:space="preserve"> y </w:t>
            </w:r>
            <w:r w:rsidRPr="00A313C8">
              <w:rPr>
                <w:rFonts w:ascii="Arial" w:hAnsi="Arial" w:cs="Arial"/>
              </w:rPr>
              <w:t>31/12/2021</w:t>
            </w:r>
            <w:r w:rsidR="00A313C8">
              <w:rPr>
                <w:rFonts w:ascii="Arial" w:hAnsi="Arial" w:cs="Arial"/>
              </w:rPr>
              <w:t>.</w:t>
            </w:r>
          </w:p>
        </w:tc>
      </w:tr>
      <w:tr w:rsidR="00393742" w:rsidRPr="00BF23C9" w14:paraId="2C6A5599" w14:textId="77777777" w:rsidTr="00F01AF3">
        <w:trPr>
          <w:trHeight w:val="663"/>
        </w:trPr>
        <w:tc>
          <w:tcPr>
            <w:tcW w:w="2527" w:type="dxa"/>
            <w:shd w:val="clear" w:color="auto" w:fill="E7E6E6" w:themeFill="background2"/>
          </w:tcPr>
          <w:p w14:paraId="20F5E546" w14:textId="77777777" w:rsidR="00393742" w:rsidRPr="007B3FED" w:rsidRDefault="00393742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</w:tcPr>
          <w:p w14:paraId="146972EB" w14:textId="439EC7C4" w:rsidR="00393742" w:rsidRPr="00681EDF" w:rsidRDefault="005F7630" w:rsidP="00FC593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realiza para hacer coincidir con periodicidad de los informes para Índice de transparencia de acceso a la información (ITA).</w:t>
            </w:r>
          </w:p>
        </w:tc>
      </w:tr>
    </w:tbl>
    <w:tbl>
      <w:tblPr>
        <w:tblStyle w:val="Tablaconcuadrcula"/>
        <w:tblpPr w:leftFromText="141" w:rightFromText="141" w:vertAnchor="text" w:horzAnchor="margin" w:tblpY="651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8854BB" w:rsidRPr="00BF23C9" w14:paraId="36261931" w14:textId="77777777" w:rsidTr="00D41F65">
        <w:tc>
          <w:tcPr>
            <w:tcW w:w="2527" w:type="dxa"/>
            <w:shd w:val="clear" w:color="auto" w:fill="E7E6E6" w:themeFill="background2"/>
          </w:tcPr>
          <w:p w14:paraId="52120607" w14:textId="77777777" w:rsidR="008854BB" w:rsidRPr="007B3FED" w:rsidRDefault="008854BB" w:rsidP="008854BB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  <w:vAlign w:val="center"/>
          </w:tcPr>
          <w:p w14:paraId="187E08D9" w14:textId="77777777" w:rsidR="008854BB" w:rsidRPr="000E7B4B" w:rsidRDefault="008854BB" w:rsidP="00D41F65">
            <w:pPr>
              <w:rPr>
                <w:rFonts w:ascii="Arial" w:hAnsi="Arial" w:cs="Arial"/>
                <w:b/>
                <w:color w:val="FF0000"/>
              </w:rPr>
            </w:pPr>
            <w:r w:rsidRPr="007B17B5">
              <w:rPr>
                <w:rFonts w:ascii="Arial" w:hAnsi="Arial" w:cs="Arial"/>
                <w:b/>
              </w:rPr>
              <w:t>Planificación estratégica corporativa y ambiental</w:t>
            </w:r>
          </w:p>
        </w:tc>
      </w:tr>
      <w:tr w:rsidR="008854BB" w:rsidRPr="00BF23C9" w14:paraId="49F4D208" w14:textId="77777777" w:rsidTr="008854BB">
        <w:trPr>
          <w:trHeight w:val="622"/>
        </w:trPr>
        <w:tc>
          <w:tcPr>
            <w:tcW w:w="2527" w:type="dxa"/>
            <w:shd w:val="clear" w:color="auto" w:fill="E7E6E6" w:themeFill="background2"/>
          </w:tcPr>
          <w:p w14:paraId="6EA134A8" w14:textId="77777777" w:rsidR="008854BB" w:rsidRPr="007B3FED" w:rsidRDefault="008854BB" w:rsidP="008854BB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</w:tcPr>
          <w:p w14:paraId="396DF24A" w14:textId="77777777" w:rsidR="008854BB" w:rsidRPr="002F79A3" w:rsidRDefault="008854BB" w:rsidP="008854BB">
            <w:pPr>
              <w:jc w:val="both"/>
              <w:rPr>
                <w:rFonts w:ascii="Arial" w:hAnsi="Arial" w:cs="Arial"/>
              </w:rPr>
            </w:pPr>
            <w:r w:rsidRPr="000E7B4B">
              <w:rPr>
                <w:rFonts w:ascii="Arial" w:hAnsi="Arial" w:cs="Arial"/>
              </w:rPr>
              <w:t>Componente 1: Gestión del Riesgo de Corrupción - Mapa de Riesgos de Corrupción</w:t>
            </w:r>
          </w:p>
        </w:tc>
      </w:tr>
      <w:tr w:rsidR="008854BB" w:rsidRPr="00BF23C9" w14:paraId="06BCB1B2" w14:textId="77777777" w:rsidTr="008854BB">
        <w:trPr>
          <w:trHeight w:val="941"/>
        </w:trPr>
        <w:tc>
          <w:tcPr>
            <w:tcW w:w="2527" w:type="dxa"/>
            <w:shd w:val="clear" w:color="auto" w:fill="E7E6E6" w:themeFill="background2"/>
          </w:tcPr>
          <w:p w14:paraId="502A4BE1" w14:textId="77777777" w:rsidR="008854BB" w:rsidRPr="007B3FED" w:rsidRDefault="008854BB" w:rsidP="008854B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Riesgo</w:t>
            </w:r>
          </w:p>
        </w:tc>
        <w:tc>
          <w:tcPr>
            <w:tcW w:w="6653" w:type="dxa"/>
          </w:tcPr>
          <w:p w14:paraId="01ADE1D1" w14:textId="77777777" w:rsidR="008854BB" w:rsidRPr="002F79A3" w:rsidRDefault="008854BB" w:rsidP="008854BB">
            <w:pPr>
              <w:jc w:val="both"/>
              <w:rPr>
                <w:rFonts w:ascii="Arial" w:hAnsi="Arial" w:cs="Arial"/>
                <w:color w:val="FF0000"/>
              </w:rPr>
            </w:pPr>
            <w:r w:rsidRPr="00F01AF3">
              <w:rPr>
                <w:rFonts w:ascii="Arial" w:hAnsi="Arial" w:cs="Arial"/>
              </w:rPr>
              <w:t>Parcializar selección de negocios verdes según los criterios definidos para las actividades y acciones de acompañamiento y/o promoción realizado por la Corporación.</w:t>
            </w:r>
          </w:p>
        </w:tc>
      </w:tr>
      <w:tr w:rsidR="008854BB" w:rsidRPr="007454FB" w14:paraId="259365CC" w14:textId="77777777" w:rsidTr="008854BB">
        <w:trPr>
          <w:trHeight w:val="1306"/>
        </w:trPr>
        <w:tc>
          <w:tcPr>
            <w:tcW w:w="2527" w:type="dxa"/>
            <w:shd w:val="clear" w:color="auto" w:fill="E7E6E6" w:themeFill="background2"/>
          </w:tcPr>
          <w:p w14:paraId="0FF9B7EF" w14:textId="77777777" w:rsidR="008854BB" w:rsidRPr="007B3FED" w:rsidRDefault="008854BB" w:rsidP="008854BB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  <w:vAlign w:val="center"/>
          </w:tcPr>
          <w:p w14:paraId="229ABEB8" w14:textId="3AF2D113" w:rsidR="008854BB" w:rsidRPr="000202C4" w:rsidRDefault="008854BB" w:rsidP="008854BB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0202C4"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</w:rPr>
              <w:t>cambia</w:t>
            </w:r>
            <w:r w:rsidRPr="000202C4">
              <w:rPr>
                <w:rFonts w:ascii="Arial" w:hAnsi="Arial" w:cs="Arial"/>
              </w:rPr>
              <w:t xml:space="preserve"> el indicador: </w:t>
            </w:r>
            <w:r>
              <w:t xml:space="preserve"> </w:t>
            </w:r>
            <w:r w:rsidRPr="000202C4">
              <w:rPr>
                <w:rFonts w:ascii="Arial" w:hAnsi="Arial" w:cs="Arial"/>
              </w:rPr>
              <w:t xml:space="preserve">No. de negocios con cumplimiento del 51% o más de los criterios de Negocios Verdes, por el indicador: </w:t>
            </w:r>
            <w:r>
              <w:t xml:space="preserve"> </w:t>
            </w:r>
            <w:r w:rsidRPr="008C72F9">
              <w:rPr>
                <w:rFonts w:ascii="Arial" w:hAnsi="Arial" w:cs="Arial"/>
                <w:b/>
              </w:rPr>
              <w:t># de negocios verificados cumpliendo con los criterios de negocios verdes / #. de negocios verificados * 100</w:t>
            </w:r>
            <w:r w:rsidRPr="000202C4">
              <w:rPr>
                <w:rFonts w:ascii="Arial" w:hAnsi="Arial" w:cs="Arial"/>
                <w:b/>
              </w:rPr>
              <w:t>.</w:t>
            </w:r>
          </w:p>
        </w:tc>
      </w:tr>
      <w:tr w:rsidR="008854BB" w:rsidRPr="00BF23C9" w14:paraId="4228A51A" w14:textId="77777777" w:rsidTr="008854BB">
        <w:trPr>
          <w:trHeight w:val="1407"/>
        </w:trPr>
        <w:tc>
          <w:tcPr>
            <w:tcW w:w="2527" w:type="dxa"/>
            <w:shd w:val="clear" w:color="auto" w:fill="E7E6E6" w:themeFill="background2"/>
          </w:tcPr>
          <w:p w14:paraId="22B50B7E" w14:textId="77777777" w:rsidR="008854BB" w:rsidRPr="007B3FED" w:rsidRDefault="008854BB" w:rsidP="008854BB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  <w:vAlign w:val="center"/>
          </w:tcPr>
          <w:p w14:paraId="469E4E24" w14:textId="104B988D" w:rsidR="008854BB" w:rsidRPr="005000F7" w:rsidRDefault="008854BB" w:rsidP="008854B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realiza el cambio, para ser más claros y precisos en cuanto a la lectura del mismo por los lectores del documento. Indicador que es coherente con una de las metas del Programa Regional de Negocios Verdes.</w:t>
            </w:r>
          </w:p>
        </w:tc>
      </w:tr>
    </w:tbl>
    <w:p w14:paraId="1F026031" w14:textId="3D4F4D02" w:rsidR="007B17B5" w:rsidRDefault="007B17B5">
      <w:pPr>
        <w:rPr>
          <w:rFonts w:ascii="Arial" w:hAnsi="Arial" w:cs="Arial"/>
          <w:b/>
        </w:rPr>
      </w:pPr>
    </w:p>
    <w:p w14:paraId="264A1B39" w14:textId="040316DA" w:rsidR="00F01AF3" w:rsidRDefault="00F01AF3">
      <w:pPr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7B17B5" w:rsidRPr="00BF23C9" w14:paraId="37125FB4" w14:textId="77777777" w:rsidTr="008854BB">
        <w:trPr>
          <w:trHeight w:val="559"/>
        </w:trPr>
        <w:tc>
          <w:tcPr>
            <w:tcW w:w="2527" w:type="dxa"/>
            <w:shd w:val="clear" w:color="auto" w:fill="E7E6E6" w:themeFill="background2"/>
          </w:tcPr>
          <w:p w14:paraId="2ED57D4D" w14:textId="77777777" w:rsidR="007B17B5" w:rsidRPr="007B3FED" w:rsidRDefault="007B17B5" w:rsidP="006F5A4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</w:tcPr>
          <w:p w14:paraId="4F34C911" w14:textId="5E7CBE21" w:rsidR="007B17B5" w:rsidRPr="000E7B4B" w:rsidRDefault="007B17B5" w:rsidP="006F5A4A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7B17B5">
              <w:rPr>
                <w:rFonts w:ascii="Arial" w:hAnsi="Arial" w:cs="Arial"/>
                <w:b/>
              </w:rPr>
              <w:t>Planificación estratégica corporativa y ambiental</w:t>
            </w:r>
            <w:r w:rsidR="00DA2F0A">
              <w:rPr>
                <w:rFonts w:ascii="Arial" w:hAnsi="Arial" w:cs="Arial"/>
                <w:b/>
              </w:rPr>
              <w:t xml:space="preserve"> y Gestión Financiera</w:t>
            </w:r>
          </w:p>
        </w:tc>
      </w:tr>
      <w:tr w:rsidR="007B17B5" w:rsidRPr="00BF23C9" w14:paraId="3F6D2410" w14:textId="77777777" w:rsidTr="00D41F65">
        <w:trPr>
          <w:trHeight w:val="411"/>
        </w:trPr>
        <w:tc>
          <w:tcPr>
            <w:tcW w:w="2527" w:type="dxa"/>
            <w:shd w:val="clear" w:color="auto" w:fill="E7E6E6" w:themeFill="background2"/>
          </w:tcPr>
          <w:p w14:paraId="56EE3DA7" w14:textId="77777777" w:rsidR="007B17B5" w:rsidRPr="007B3FED" w:rsidRDefault="007B17B5" w:rsidP="006F5A4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</w:tcPr>
          <w:p w14:paraId="0CC01187" w14:textId="667C52AA" w:rsidR="007B17B5" w:rsidRPr="002F79A3" w:rsidRDefault="007B17B5" w:rsidP="006F5A4A">
            <w:pPr>
              <w:jc w:val="both"/>
              <w:rPr>
                <w:rFonts w:ascii="Arial" w:hAnsi="Arial" w:cs="Arial"/>
              </w:rPr>
            </w:pPr>
            <w:r w:rsidRPr="00951EED">
              <w:rPr>
                <w:rFonts w:ascii="Arial" w:hAnsi="Arial" w:cs="Arial"/>
              </w:rPr>
              <w:t>Componente</w:t>
            </w:r>
            <w:r w:rsidR="00DB44C6">
              <w:rPr>
                <w:rFonts w:ascii="Arial" w:hAnsi="Arial" w:cs="Arial"/>
              </w:rPr>
              <w:t xml:space="preserve"> 2: </w:t>
            </w:r>
            <w:r w:rsidR="00B908C8" w:rsidRPr="00B908C8">
              <w:rPr>
                <w:rFonts w:ascii="Arial" w:hAnsi="Arial" w:cs="Arial"/>
              </w:rPr>
              <w:t>Estrategia de Racionalización de Trámites</w:t>
            </w:r>
          </w:p>
        </w:tc>
      </w:tr>
      <w:tr w:rsidR="007B17B5" w:rsidRPr="00BF23C9" w14:paraId="33696450" w14:textId="77777777" w:rsidTr="00D41F65">
        <w:trPr>
          <w:trHeight w:val="416"/>
        </w:trPr>
        <w:tc>
          <w:tcPr>
            <w:tcW w:w="2527" w:type="dxa"/>
            <w:shd w:val="clear" w:color="auto" w:fill="E7E6E6" w:themeFill="background2"/>
          </w:tcPr>
          <w:p w14:paraId="590D403E" w14:textId="77777777" w:rsidR="007B17B5" w:rsidRPr="007B3FED" w:rsidRDefault="007B17B5" w:rsidP="006F5A4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Subcomponente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53" w:type="dxa"/>
          </w:tcPr>
          <w:p w14:paraId="6C6680D5" w14:textId="2E53DB34" w:rsidR="007B17B5" w:rsidRPr="00681EDF" w:rsidRDefault="00B908C8" w:rsidP="006F5A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7B17B5" w:rsidRPr="00BF23C9" w14:paraId="1D9019FA" w14:textId="77777777" w:rsidTr="00D41F65">
        <w:trPr>
          <w:trHeight w:val="847"/>
        </w:trPr>
        <w:tc>
          <w:tcPr>
            <w:tcW w:w="2527" w:type="dxa"/>
            <w:shd w:val="clear" w:color="auto" w:fill="E7E6E6" w:themeFill="background2"/>
          </w:tcPr>
          <w:p w14:paraId="6D3A317E" w14:textId="77777777" w:rsidR="007B17B5" w:rsidRPr="007B3FED" w:rsidRDefault="007B17B5" w:rsidP="006F5A4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</w:tcPr>
          <w:p w14:paraId="45565F3A" w14:textId="1260C68C" w:rsidR="007B17B5" w:rsidRPr="002F79A3" w:rsidRDefault="00B908C8" w:rsidP="00B908C8">
            <w:pPr>
              <w:shd w:val="clear" w:color="auto" w:fill="FFFFFF"/>
              <w:jc w:val="both"/>
              <w:rPr>
                <w:rFonts w:ascii="Arial" w:hAnsi="Arial" w:cs="Arial"/>
                <w:color w:val="FF0000"/>
              </w:rPr>
            </w:pPr>
            <w:r w:rsidRPr="00B908C8">
              <w:rPr>
                <w:rFonts w:ascii="Arial" w:hAnsi="Arial" w:cs="Arial"/>
              </w:rPr>
              <w:t>Para las actividades de racionalización de los tr</w:t>
            </w:r>
            <w:r>
              <w:rPr>
                <w:rFonts w:ascii="Arial" w:hAnsi="Arial" w:cs="Arial"/>
              </w:rPr>
              <w:t xml:space="preserve">ámites: </w:t>
            </w:r>
            <w:r w:rsidRPr="00B908C8">
              <w:rPr>
                <w:rFonts w:ascii="Arial" w:hAnsi="Arial" w:cs="Arial"/>
              </w:rPr>
              <w:t>Concesión de agu</w:t>
            </w:r>
            <w:r>
              <w:rPr>
                <w:rFonts w:ascii="Arial" w:hAnsi="Arial" w:cs="Arial"/>
              </w:rPr>
              <w:t xml:space="preserve">as superficiales </w:t>
            </w:r>
            <w:r w:rsidRPr="00B908C8">
              <w:rPr>
                <w:rFonts w:ascii="Arial" w:hAnsi="Arial" w:cs="Arial"/>
              </w:rPr>
              <w:t xml:space="preserve"> y Concesión de aguas subterráneas</w:t>
            </w:r>
            <w:r>
              <w:rPr>
                <w:rFonts w:ascii="Arial" w:hAnsi="Arial" w:cs="Arial"/>
              </w:rPr>
              <w:t xml:space="preserve">, se modifica </w:t>
            </w:r>
            <w:r w:rsidR="00BC0E13">
              <w:rPr>
                <w:rFonts w:ascii="Arial" w:hAnsi="Arial" w:cs="Arial"/>
              </w:rPr>
              <w:t>la “fecha final” para la vigencia 2022.</w:t>
            </w:r>
          </w:p>
        </w:tc>
      </w:tr>
      <w:tr w:rsidR="007B17B5" w:rsidRPr="00BF23C9" w14:paraId="6AE4F9CB" w14:textId="77777777" w:rsidTr="00F01AF3">
        <w:trPr>
          <w:trHeight w:val="567"/>
        </w:trPr>
        <w:tc>
          <w:tcPr>
            <w:tcW w:w="2527" w:type="dxa"/>
            <w:shd w:val="clear" w:color="auto" w:fill="E7E6E6" w:themeFill="background2"/>
          </w:tcPr>
          <w:p w14:paraId="3C41407F" w14:textId="77777777" w:rsidR="007B17B5" w:rsidRPr="007B3FED" w:rsidRDefault="007B17B5" w:rsidP="006F5A4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</w:tcPr>
          <w:p w14:paraId="69230731" w14:textId="4B027CE5" w:rsidR="00DA2F0A" w:rsidRPr="00DA2F0A" w:rsidRDefault="00DA2F0A" w:rsidP="00DA2F0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acciones para el cumplimiento de las actividades</w:t>
            </w:r>
            <w:r w:rsidRPr="00DA2F0A">
              <w:rPr>
                <w:rFonts w:ascii="Arial" w:hAnsi="Arial" w:cs="Arial"/>
              </w:rPr>
              <w:t xml:space="preserve"> requiere</w:t>
            </w:r>
            <w:r>
              <w:rPr>
                <w:rFonts w:ascii="Arial" w:hAnsi="Arial" w:cs="Arial"/>
              </w:rPr>
              <w:t>n</w:t>
            </w:r>
            <w:r w:rsidRPr="00DA2F0A">
              <w:rPr>
                <w:rFonts w:ascii="Arial" w:hAnsi="Arial" w:cs="Arial"/>
              </w:rPr>
              <w:t xml:space="preserve"> la implementación de un Convenio con la entidad bancaria que brindará el servicio de automatización de recaudo del pago de lo liquidado y la réplica a </w:t>
            </w:r>
            <w:proofErr w:type="spellStart"/>
            <w:r w:rsidRPr="00DA2F0A">
              <w:rPr>
                <w:rFonts w:ascii="Arial" w:hAnsi="Arial" w:cs="Arial"/>
              </w:rPr>
              <w:t>Corpamag</w:t>
            </w:r>
            <w:proofErr w:type="spellEnd"/>
            <w:r w:rsidRPr="00DA2F0A">
              <w:rPr>
                <w:rFonts w:ascii="Arial" w:hAnsi="Arial" w:cs="Arial"/>
              </w:rPr>
              <w:t xml:space="preserve"> para el registro. El proceso para la consolidación del convenio está en trámite y depende de la aprobación financiera, tecnológica, jurídica y finalmente de la alta dirección de </w:t>
            </w:r>
            <w:proofErr w:type="spellStart"/>
            <w:r w:rsidRPr="00DA2F0A">
              <w:rPr>
                <w:rFonts w:ascii="Arial" w:hAnsi="Arial" w:cs="Arial"/>
              </w:rPr>
              <w:t>Corpamag</w:t>
            </w:r>
            <w:proofErr w:type="spellEnd"/>
            <w:r w:rsidRPr="00DA2F0A">
              <w:rPr>
                <w:rFonts w:ascii="Arial" w:hAnsi="Arial" w:cs="Arial"/>
              </w:rPr>
              <w:t>, así como de las gestiones internas del banco.</w:t>
            </w:r>
          </w:p>
          <w:p w14:paraId="7FD7D3F0" w14:textId="77777777" w:rsidR="00DA2F0A" w:rsidRPr="00F01AF3" w:rsidRDefault="00DA2F0A" w:rsidP="00DA2F0A">
            <w:pPr>
              <w:shd w:val="clear" w:color="auto" w:fill="FFFFFF"/>
              <w:jc w:val="both"/>
              <w:rPr>
                <w:rFonts w:ascii="Arial" w:hAnsi="Arial" w:cs="Arial"/>
                <w:sz w:val="14"/>
              </w:rPr>
            </w:pPr>
          </w:p>
          <w:p w14:paraId="2E541637" w14:textId="60D992B7" w:rsidR="007B17B5" w:rsidRPr="00681EDF" w:rsidRDefault="00DA2F0A" w:rsidP="00DA2F0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A2F0A">
              <w:rPr>
                <w:rFonts w:ascii="Arial" w:hAnsi="Arial" w:cs="Arial"/>
              </w:rPr>
              <w:t>El proceso de toma de decisión de los convenios propuestos, debido a requerimientos adicionales de tiempo para su estudio y aclaración</w:t>
            </w:r>
            <w:r>
              <w:rPr>
                <w:rFonts w:ascii="Arial" w:hAnsi="Arial" w:cs="Arial"/>
              </w:rPr>
              <w:t>,</w:t>
            </w:r>
            <w:r w:rsidRPr="00DA2F0A">
              <w:rPr>
                <w:rFonts w:ascii="Arial" w:hAnsi="Arial" w:cs="Arial"/>
              </w:rPr>
              <w:t xml:space="preserve"> no han podido ser concretados hasta a la fecha, por lo cual se requiere tiempo adicional, mismo que superaría la vigencia actual.</w:t>
            </w:r>
          </w:p>
        </w:tc>
      </w:tr>
    </w:tbl>
    <w:p w14:paraId="0F9C832A" w14:textId="77777777" w:rsidR="0082336D" w:rsidRDefault="0082336D">
      <w:pPr>
        <w:rPr>
          <w:rFonts w:ascii="Arial" w:hAnsi="Arial" w:cs="Arial"/>
          <w:b/>
        </w:rPr>
      </w:pPr>
    </w:p>
    <w:p w14:paraId="02608DDF" w14:textId="77777777" w:rsidR="0082336D" w:rsidRDefault="0082336D">
      <w:pPr>
        <w:rPr>
          <w:rFonts w:ascii="Arial" w:hAnsi="Arial" w:cs="Arial"/>
          <w:b/>
        </w:rPr>
      </w:pPr>
    </w:p>
    <w:p w14:paraId="2A987AF8" w14:textId="77777777" w:rsidR="00096D1D" w:rsidRPr="00BF23C9" w:rsidRDefault="00096D1D" w:rsidP="00BF23C9">
      <w:pPr>
        <w:jc w:val="both"/>
        <w:rPr>
          <w:rFonts w:ascii="Arial" w:hAnsi="Arial" w:cs="Arial"/>
        </w:rPr>
      </w:pPr>
    </w:p>
    <w:sectPr w:rsidR="00096D1D" w:rsidRPr="00BF23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1C0"/>
    <w:multiLevelType w:val="hybridMultilevel"/>
    <w:tmpl w:val="F7344B24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04E41"/>
    <w:multiLevelType w:val="hybridMultilevel"/>
    <w:tmpl w:val="98A479FE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25407"/>
    <w:multiLevelType w:val="hybridMultilevel"/>
    <w:tmpl w:val="B62688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3298D"/>
    <w:multiLevelType w:val="multilevel"/>
    <w:tmpl w:val="90A0D3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AA7F90"/>
    <w:multiLevelType w:val="hybridMultilevel"/>
    <w:tmpl w:val="1E1C9D0E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013FB"/>
    <w:multiLevelType w:val="hybridMultilevel"/>
    <w:tmpl w:val="8690B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51456"/>
    <w:multiLevelType w:val="hybridMultilevel"/>
    <w:tmpl w:val="240C2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66A5D"/>
    <w:multiLevelType w:val="hybridMultilevel"/>
    <w:tmpl w:val="796A5B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F2097"/>
    <w:multiLevelType w:val="hybridMultilevel"/>
    <w:tmpl w:val="1E4E0F92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A6"/>
    <w:rsid w:val="00010A3F"/>
    <w:rsid w:val="000202C4"/>
    <w:rsid w:val="00024AD2"/>
    <w:rsid w:val="00096D1D"/>
    <w:rsid w:val="00097145"/>
    <w:rsid w:val="000E2815"/>
    <w:rsid w:val="000E7B4B"/>
    <w:rsid w:val="00123CE7"/>
    <w:rsid w:val="00133329"/>
    <w:rsid w:val="0015188E"/>
    <w:rsid w:val="001774FB"/>
    <w:rsid w:val="001C555F"/>
    <w:rsid w:val="001E44D7"/>
    <w:rsid w:val="001F44FA"/>
    <w:rsid w:val="001F6785"/>
    <w:rsid w:val="002335AE"/>
    <w:rsid w:val="00233784"/>
    <w:rsid w:val="002349C7"/>
    <w:rsid w:val="002716F0"/>
    <w:rsid w:val="002A1197"/>
    <w:rsid w:val="002A4C6C"/>
    <w:rsid w:val="002B2641"/>
    <w:rsid w:val="002E230A"/>
    <w:rsid w:val="002F79A3"/>
    <w:rsid w:val="00325C89"/>
    <w:rsid w:val="0033234F"/>
    <w:rsid w:val="00352257"/>
    <w:rsid w:val="00367C24"/>
    <w:rsid w:val="00381864"/>
    <w:rsid w:val="00393742"/>
    <w:rsid w:val="003A28A6"/>
    <w:rsid w:val="003B52A9"/>
    <w:rsid w:val="004211AC"/>
    <w:rsid w:val="004506A7"/>
    <w:rsid w:val="00467E37"/>
    <w:rsid w:val="004A26AE"/>
    <w:rsid w:val="004B51B3"/>
    <w:rsid w:val="004B6AF4"/>
    <w:rsid w:val="004C73C4"/>
    <w:rsid w:val="005000F7"/>
    <w:rsid w:val="00527F72"/>
    <w:rsid w:val="00540DD4"/>
    <w:rsid w:val="005C60B9"/>
    <w:rsid w:val="005D0FE3"/>
    <w:rsid w:val="005F7630"/>
    <w:rsid w:val="006175E0"/>
    <w:rsid w:val="006277A2"/>
    <w:rsid w:val="00653A31"/>
    <w:rsid w:val="00681EDF"/>
    <w:rsid w:val="006A2F00"/>
    <w:rsid w:val="006A612C"/>
    <w:rsid w:val="006B387C"/>
    <w:rsid w:val="006B3F73"/>
    <w:rsid w:val="006E0F6E"/>
    <w:rsid w:val="00701E82"/>
    <w:rsid w:val="00726C6C"/>
    <w:rsid w:val="00727CF0"/>
    <w:rsid w:val="00737913"/>
    <w:rsid w:val="007454FB"/>
    <w:rsid w:val="00776A91"/>
    <w:rsid w:val="007B17B5"/>
    <w:rsid w:val="007B3FED"/>
    <w:rsid w:val="007B4B36"/>
    <w:rsid w:val="007D119C"/>
    <w:rsid w:val="007D6594"/>
    <w:rsid w:val="007E17BE"/>
    <w:rsid w:val="00800E55"/>
    <w:rsid w:val="00810B3D"/>
    <w:rsid w:val="0082336D"/>
    <w:rsid w:val="008359C1"/>
    <w:rsid w:val="00845E08"/>
    <w:rsid w:val="008854BB"/>
    <w:rsid w:val="008A5259"/>
    <w:rsid w:val="008C4D2B"/>
    <w:rsid w:val="008D75AD"/>
    <w:rsid w:val="008F1EEF"/>
    <w:rsid w:val="008F36B0"/>
    <w:rsid w:val="00904E44"/>
    <w:rsid w:val="00927302"/>
    <w:rsid w:val="009331BA"/>
    <w:rsid w:val="0094415A"/>
    <w:rsid w:val="00951EED"/>
    <w:rsid w:val="0095547B"/>
    <w:rsid w:val="00970DD6"/>
    <w:rsid w:val="0098740B"/>
    <w:rsid w:val="009B4793"/>
    <w:rsid w:val="009C5C38"/>
    <w:rsid w:val="00A0085C"/>
    <w:rsid w:val="00A00AF8"/>
    <w:rsid w:val="00A071E9"/>
    <w:rsid w:val="00A30EC5"/>
    <w:rsid w:val="00A313C8"/>
    <w:rsid w:val="00A476B1"/>
    <w:rsid w:val="00A51618"/>
    <w:rsid w:val="00A56F60"/>
    <w:rsid w:val="00A57C87"/>
    <w:rsid w:val="00A631B2"/>
    <w:rsid w:val="00AD21BF"/>
    <w:rsid w:val="00B24A02"/>
    <w:rsid w:val="00B514C0"/>
    <w:rsid w:val="00B64003"/>
    <w:rsid w:val="00B86261"/>
    <w:rsid w:val="00B908C8"/>
    <w:rsid w:val="00BB028A"/>
    <w:rsid w:val="00BC0E13"/>
    <w:rsid w:val="00BF23C9"/>
    <w:rsid w:val="00C04BEA"/>
    <w:rsid w:val="00C21192"/>
    <w:rsid w:val="00C278F1"/>
    <w:rsid w:val="00C415B0"/>
    <w:rsid w:val="00C50845"/>
    <w:rsid w:val="00C71735"/>
    <w:rsid w:val="00CB3B96"/>
    <w:rsid w:val="00CF20AA"/>
    <w:rsid w:val="00D14F3F"/>
    <w:rsid w:val="00D41F65"/>
    <w:rsid w:val="00D520E5"/>
    <w:rsid w:val="00D80E33"/>
    <w:rsid w:val="00DA2CB1"/>
    <w:rsid w:val="00DA2F0A"/>
    <w:rsid w:val="00DB44C6"/>
    <w:rsid w:val="00DC3FF2"/>
    <w:rsid w:val="00DD06C0"/>
    <w:rsid w:val="00DD7EFA"/>
    <w:rsid w:val="00DE71D0"/>
    <w:rsid w:val="00E43289"/>
    <w:rsid w:val="00E81954"/>
    <w:rsid w:val="00ED7A3E"/>
    <w:rsid w:val="00EE1654"/>
    <w:rsid w:val="00EE2780"/>
    <w:rsid w:val="00F01AF3"/>
    <w:rsid w:val="00F02380"/>
    <w:rsid w:val="00F4342C"/>
    <w:rsid w:val="00F90ECB"/>
    <w:rsid w:val="00FA22E9"/>
    <w:rsid w:val="00FA25B4"/>
    <w:rsid w:val="00FC593E"/>
    <w:rsid w:val="00FE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53BB"/>
  <w15:docId w15:val="{36E505AA-AF41-4AB6-8F4E-9204069E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8A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F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Rodríguez Loaiza</dc:creator>
  <cp:lastModifiedBy>Andrea Carolina Rodriguez Loaiza</cp:lastModifiedBy>
  <cp:revision>12</cp:revision>
  <dcterms:created xsi:type="dcterms:W3CDTF">2021-11-19T21:22:00Z</dcterms:created>
  <dcterms:modified xsi:type="dcterms:W3CDTF">2021-12-03T16:17:00Z</dcterms:modified>
</cp:coreProperties>
</file>